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19EA" w14:textId="77777777" w:rsidR="00F1354B" w:rsidRPr="00262C69" w:rsidRDefault="00956499" w:rsidP="00F1354B">
      <w:pPr>
        <w:widowControl/>
        <w:snapToGrid w:val="0"/>
        <w:spacing w:before="100" w:beforeAutospacing="1"/>
        <w:jc w:val="center"/>
        <w:rPr>
          <w:rFonts w:ascii="Verdana" w:eastAsia="標楷體" w:hAnsi="Verdana" w:cs="Arial"/>
          <w:b/>
          <w:bCs/>
          <w:kern w:val="0"/>
          <w:sz w:val="32"/>
          <w:szCs w:val="32"/>
        </w:rPr>
      </w:pPr>
      <w:r w:rsidRPr="00262C69">
        <w:rPr>
          <w:rFonts w:ascii="Verdana" w:eastAsia="標楷體" w:hAnsi="Verdana" w:cs="Arial"/>
          <w:b/>
          <w:bCs/>
          <w:kern w:val="0"/>
          <w:sz w:val="32"/>
          <w:szCs w:val="32"/>
        </w:rPr>
        <w:t>Taipei Medical University Graduate Institute of Data Science</w:t>
      </w:r>
    </w:p>
    <w:p w14:paraId="6D8CF0B5" w14:textId="472B1992" w:rsidR="00AF5117" w:rsidRPr="00262C69" w:rsidRDefault="00956499" w:rsidP="00F1354B">
      <w:pPr>
        <w:widowControl/>
        <w:snapToGrid w:val="0"/>
        <w:spacing w:before="100" w:beforeAutospacing="1" w:afterLines="100" w:after="360"/>
        <w:jc w:val="center"/>
        <w:rPr>
          <w:rFonts w:ascii="Verdana" w:eastAsia="標楷體" w:hAnsi="Verdana" w:cs="Arial"/>
          <w:b/>
          <w:bCs/>
          <w:kern w:val="0"/>
          <w:sz w:val="32"/>
          <w:szCs w:val="32"/>
        </w:rPr>
      </w:pPr>
      <w:r w:rsidRPr="00262C69">
        <w:rPr>
          <w:rFonts w:ascii="Verdana" w:eastAsia="標楷體" w:hAnsi="Verdana" w:cs="Arial"/>
          <w:b/>
          <w:bCs/>
          <w:kern w:val="0"/>
          <w:sz w:val="32"/>
          <w:szCs w:val="32"/>
        </w:rPr>
        <w:t>Procedures for Selecting and Changing Advisor</w:t>
      </w:r>
      <w:r w:rsidR="000222E5">
        <w:rPr>
          <w:rFonts w:ascii="Verdana" w:eastAsia="標楷體" w:hAnsi="Verdana" w:cs="Arial"/>
          <w:b/>
          <w:bCs/>
          <w:kern w:val="0"/>
          <w:sz w:val="32"/>
          <w:szCs w:val="32"/>
        </w:rPr>
        <w:t>s</w:t>
      </w:r>
      <w:r w:rsidRPr="00262C69">
        <w:rPr>
          <w:rFonts w:ascii="Verdana" w:eastAsia="標楷體" w:hAnsi="Verdana" w:cs="Arial"/>
          <w:b/>
          <w:bCs/>
          <w:kern w:val="0"/>
          <w:sz w:val="32"/>
          <w:szCs w:val="32"/>
        </w:rPr>
        <w:t xml:space="preserve"> by Graduate Student</w:t>
      </w:r>
      <w:r w:rsidR="000222E5">
        <w:rPr>
          <w:rFonts w:ascii="Verdana" w:eastAsia="標楷體" w:hAnsi="Verdana" w:cs="Arial"/>
          <w:b/>
          <w:bCs/>
          <w:kern w:val="0"/>
          <w:sz w:val="32"/>
          <w:szCs w:val="32"/>
        </w:rPr>
        <w:t>s</w:t>
      </w:r>
    </w:p>
    <w:p w14:paraId="52FB53A0" w14:textId="302357DE" w:rsidR="00956499" w:rsidRPr="00262C69" w:rsidRDefault="00956499" w:rsidP="00956499">
      <w:pPr>
        <w:widowControl/>
        <w:wordWrap w:val="0"/>
        <w:snapToGrid w:val="0"/>
        <w:spacing w:afterLines="100" w:after="360" w:line="240" w:lineRule="atLeast"/>
        <w:jc w:val="right"/>
        <w:rPr>
          <w:rFonts w:ascii="Verdana" w:eastAsia="標楷體" w:hAnsi="Verdana" w:cs="Arial"/>
          <w:bCs/>
          <w:kern w:val="0"/>
          <w:sz w:val="16"/>
          <w:szCs w:val="16"/>
        </w:rPr>
      </w:pPr>
      <w:r w:rsidRPr="00262C69">
        <w:rPr>
          <w:rFonts w:ascii="Verdana" w:eastAsia="標楷體" w:hAnsi="Verdana" w:cs="Arial"/>
          <w:bCs/>
          <w:kern w:val="0"/>
          <w:sz w:val="16"/>
          <w:szCs w:val="16"/>
        </w:rPr>
        <w:t xml:space="preserve">Resolved </w:t>
      </w:r>
      <w:r w:rsidR="000222E5">
        <w:rPr>
          <w:rFonts w:ascii="Verdana" w:eastAsia="標楷體" w:hAnsi="Verdana" w:cs="Arial"/>
          <w:bCs/>
          <w:kern w:val="0"/>
          <w:sz w:val="16"/>
          <w:szCs w:val="16"/>
        </w:rPr>
        <w:t>at the</w:t>
      </w:r>
      <w:r w:rsidRPr="00262C69">
        <w:rPr>
          <w:rFonts w:ascii="Verdana" w:eastAsia="標楷體" w:hAnsi="Verdana" w:cs="Arial"/>
          <w:bCs/>
          <w:kern w:val="0"/>
          <w:sz w:val="16"/>
          <w:szCs w:val="16"/>
        </w:rPr>
        <w:t xml:space="preserve"> Institute Affairs Meeting of Graduate Institute of Data Science on April 6, 2017</w:t>
      </w:r>
    </w:p>
    <w:p w14:paraId="0EC41558" w14:textId="56EEA063" w:rsidR="00956499" w:rsidRPr="00262C69" w:rsidRDefault="00956499" w:rsidP="009E5C9C">
      <w:pPr>
        <w:tabs>
          <w:tab w:val="left" w:pos="1418"/>
        </w:tabs>
        <w:adjustRightInd w:val="0"/>
        <w:snapToGrid w:val="0"/>
        <w:spacing w:beforeLines="50" w:before="180" w:afterLines="50" w:after="180"/>
        <w:ind w:left="1214" w:hangingChars="506" w:hanging="1214"/>
        <w:jc w:val="both"/>
        <w:rPr>
          <w:rFonts w:ascii="Verdana" w:eastAsia="標楷體" w:hAnsi="Verdana" w:cs="Arial"/>
          <w:kern w:val="0"/>
        </w:rPr>
      </w:pPr>
      <w:r w:rsidRPr="00262C69">
        <w:rPr>
          <w:rFonts w:ascii="Verdana" w:eastAsia="標楷體" w:hAnsi="Verdana" w:cs="Arial"/>
          <w:kern w:val="0"/>
        </w:rPr>
        <w:t xml:space="preserve">Article 1 </w:t>
      </w:r>
      <w:r w:rsidR="009E5C9C" w:rsidRPr="00262C69">
        <w:rPr>
          <w:rFonts w:ascii="Verdana" w:eastAsia="標楷體" w:hAnsi="Verdana" w:cs="Arial"/>
          <w:kern w:val="0"/>
        </w:rPr>
        <w:tab/>
      </w:r>
      <w:r w:rsidRPr="00262C69">
        <w:rPr>
          <w:rFonts w:ascii="Verdana" w:eastAsia="標楷體" w:hAnsi="Verdana" w:cs="Arial"/>
          <w:kern w:val="0"/>
        </w:rPr>
        <w:t xml:space="preserve">Each master’s student of </w:t>
      </w:r>
      <w:r w:rsidR="000222E5">
        <w:rPr>
          <w:rFonts w:ascii="Verdana" w:eastAsia="標楷體" w:hAnsi="Verdana" w:cs="Arial"/>
          <w:kern w:val="0"/>
        </w:rPr>
        <w:t xml:space="preserve">the </w:t>
      </w:r>
      <w:r w:rsidRPr="00262C69">
        <w:rPr>
          <w:rFonts w:ascii="Verdana" w:eastAsia="標楷體" w:hAnsi="Verdana" w:cs="Arial"/>
          <w:kern w:val="0"/>
        </w:rPr>
        <w:t>Graduate Institute of Data Science (hereinafter referred to as the “Institute”) must select the thesis advisor before the end of the first semester. The advisor should be a full-time assistant professor or higher level. When necessary, the student may have a join</w:t>
      </w:r>
      <w:bookmarkStart w:id="0" w:name="_GoBack"/>
      <w:bookmarkEnd w:id="0"/>
      <w:r w:rsidRPr="00262C69">
        <w:rPr>
          <w:rFonts w:ascii="Verdana" w:eastAsia="標楷體" w:hAnsi="Verdana" w:cs="Arial"/>
          <w:kern w:val="0"/>
        </w:rPr>
        <w:t xml:space="preserve">t advisor subject to the consent of the internal or outside teacher. The advisor should not be the spouse, or blood relative or </w:t>
      </w:r>
      <w:r w:rsidR="000222E5">
        <w:rPr>
          <w:rFonts w:ascii="Verdana" w:eastAsia="標楷體" w:hAnsi="Verdana" w:cs="Arial"/>
          <w:kern w:val="0"/>
        </w:rPr>
        <w:t>in</w:t>
      </w:r>
      <w:r w:rsidRPr="00262C69">
        <w:rPr>
          <w:rFonts w:ascii="Verdana" w:eastAsia="標楷體" w:hAnsi="Verdana" w:cs="Arial"/>
          <w:kern w:val="0"/>
        </w:rPr>
        <w:t xml:space="preserve">-law within the third degree of consanguinity of the graduate student. </w:t>
      </w:r>
    </w:p>
    <w:p w14:paraId="137379E2" w14:textId="63D63ED4" w:rsidR="00956499" w:rsidRPr="00262C69" w:rsidRDefault="00956499" w:rsidP="009E5C9C">
      <w:pPr>
        <w:tabs>
          <w:tab w:val="left" w:pos="1418"/>
        </w:tabs>
        <w:adjustRightInd w:val="0"/>
        <w:snapToGrid w:val="0"/>
        <w:spacing w:beforeLines="50" w:before="180" w:afterLines="50" w:after="180"/>
        <w:ind w:left="1214" w:hangingChars="506" w:hanging="1214"/>
        <w:jc w:val="both"/>
        <w:rPr>
          <w:rFonts w:ascii="Verdana" w:eastAsia="標楷體" w:hAnsi="Verdana" w:cs="Arial"/>
          <w:kern w:val="0"/>
        </w:rPr>
      </w:pPr>
      <w:r w:rsidRPr="00262C69">
        <w:rPr>
          <w:rFonts w:ascii="Verdana" w:eastAsia="標楷體" w:hAnsi="Verdana" w:cs="Arial"/>
          <w:kern w:val="0"/>
        </w:rPr>
        <w:t xml:space="preserve">Article 2 </w:t>
      </w:r>
      <w:r w:rsidR="009E5C9C" w:rsidRPr="00262C69">
        <w:rPr>
          <w:rFonts w:ascii="Verdana" w:eastAsia="標楷體" w:hAnsi="Verdana" w:cs="Arial"/>
          <w:kern w:val="0"/>
        </w:rPr>
        <w:tab/>
      </w:r>
      <w:r w:rsidRPr="00262C69">
        <w:rPr>
          <w:rFonts w:ascii="Verdana" w:eastAsia="標楷體" w:hAnsi="Verdana" w:cs="Arial"/>
          <w:kern w:val="0"/>
        </w:rPr>
        <w:t xml:space="preserve">Each graduate student should fill out the “Advisor Selection Form” and submit </w:t>
      </w:r>
      <w:r w:rsidR="000222E5">
        <w:rPr>
          <w:rFonts w:ascii="Verdana" w:eastAsia="標楷體" w:hAnsi="Verdana" w:cs="Arial"/>
          <w:kern w:val="0"/>
        </w:rPr>
        <w:t xml:space="preserve">it </w:t>
      </w:r>
      <w:r w:rsidRPr="00262C69">
        <w:rPr>
          <w:rFonts w:ascii="Verdana" w:eastAsia="標楷體" w:hAnsi="Verdana" w:cs="Arial"/>
          <w:kern w:val="0"/>
        </w:rPr>
        <w:t xml:space="preserve">for the signatures of the Institute’s administrative teacher and the Chairman. The forms will be kept by the office of the Institute. </w:t>
      </w:r>
    </w:p>
    <w:p w14:paraId="50178D52" w14:textId="2D3537AA" w:rsidR="00956499" w:rsidRPr="00262C69" w:rsidRDefault="00956499" w:rsidP="009E5C9C">
      <w:pPr>
        <w:tabs>
          <w:tab w:val="left" w:pos="1418"/>
        </w:tabs>
        <w:adjustRightInd w:val="0"/>
        <w:snapToGrid w:val="0"/>
        <w:spacing w:beforeLines="50" w:before="180" w:afterLines="50" w:after="180"/>
        <w:ind w:left="1214" w:hangingChars="506" w:hanging="1214"/>
        <w:jc w:val="both"/>
        <w:rPr>
          <w:rFonts w:ascii="Verdana" w:eastAsia="標楷體" w:hAnsi="Verdana" w:cs="Arial"/>
          <w:kern w:val="0"/>
        </w:rPr>
      </w:pPr>
      <w:r w:rsidRPr="00262C69">
        <w:rPr>
          <w:rFonts w:ascii="Verdana" w:eastAsia="標楷體" w:hAnsi="Verdana" w:cs="Arial"/>
          <w:kern w:val="0"/>
        </w:rPr>
        <w:t xml:space="preserve">Article 3 </w:t>
      </w:r>
      <w:r w:rsidR="009E5C9C" w:rsidRPr="00262C69">
        <w:rPr>
          <w:rFonts w:ascii="Verdana" w:eastAsia="標楷體" w:hAnsi="Verdana" w:cs="Arial"/>
          <w:kern w:val="0"/>
        </w:rPr>
        <w:tab/>
      </w:r>
      <w:r w:rsidRPr="00262C69">
        <w:rPr>
          <w:rFonts w:ascii="Verdana" w:eastAsia="標楷體" w:hAnsi="Verdana" w:cs="Arial"/>
          <w:kern w:val="0"/>
        </w:rPr>
        <w:t xml:space="preserve">After the selection of </w:t>
      </w:r>
      <w:r w:rsidR="000222E5">
        <w:rPr>
          <w:rFonts w:ascii="Verdana" w:eastAsia="標楷體" w:hAnsi="Verdana" w:cs="Arial"/>
          <w:kern w:val="0"/>
        </w:rPr>
        <w:t xml:space="preserve">the </w:t>
      </w:r>
      <w:r w:rsidRPr="00262C69">
        <w:rPr>
          <w:rFonts w:ascii="Verdana" w:eastAsia="標楷體" w:hAnsi="Verdana" w:cs="Arial"/>
          <w:kern w:val="0"/>
        </w:rPr>
        <w:t xml:space="preserve">advisor, the student’s mentor should be the advisor. </w:t>
      </w:r>
    </w:p>
    <w:p w14:paraId="329561CD" w14:textId="76EA8F1D" w:rsidR="00956499" w:rsidRPr="00262C69" w:rsidRDefault="00956499" w:rsidP="009E5C9C">
      <w:pPr>
        <w:tabs>
          <w:tab w:val="left" w:pos="1418"/>
        </w:tabs>
        <w:adjustRightInd w:val="0"/>
        <w:snapToGrid w:val="0"/>
        <w:spacing w:beforeLines="50" w:before="180" w:afterLines="50" w:after="180"/>
        <w:ind w:left="1214" w:hangingChars="506" w:hanging="1214"/>
        <w:jc w:val="both"/>
        <w:rPr>
          <w:rFonts w:ascii="Verdana" w:eastAsia="標楷體" w:hAnsi="Verdana" w:cs="Arial"/>
          <w:kern w:val="0"/>
        </w:rPr>
      </w:pPr>
      <w:r w:rsidRPr="00262C69">
        <w:rPr>
          <w:rFonts w:ascii="Verdana" w:eastAsia="標楷體" w:hAnsi="Verdana" w:cs="Arial"/>
          <w:kern w:val="0"/>
        </w:rPr>
        <w:t xml:space="preserve">Article 4 </w:t>
      </w:r>
      <w:r w:rsidR="009E5C9C" w:rsidRPr="00262C69">
        <w:rPr>
          <w:rFonts w:ascii="Verdana" w:eastAsia="標楷體" w:hAnsi="Verdana" w:cs="Arial"/>
          <w:kern w:val="0"/>
        </w:rPr>
        <w:tab/>
      </w:r>
      <w:r w:rsidRPr="00262C69">
        <w:rPr>
          <w:rFonts w:ascii="Verdana" w:eastAsia="標楷體" w:hAnsi="Verdana" w:cs="Arial"/>
          <w:kern w:val="0"/>
        </w:rPr>
        <w:t xml:space="preserve">The Institute’s administrative teacher should provide </w:t>
      </w:r>
      <w:r w:rsidR="000222E5">
        <w:rPr>
          <w:rFonts w:ascii="Verdana" w:eastAsia="標楷體" w:hAnsi="Verdana" w:cs="Arial"/>
          <w:kern w:val="0"/>
        </w:rPr>
        <w:t xml:space="preserve">the </w:t>
      </w:r>
      <w:r w:rsidRPr="00262C69">
        <w:rPr>
          <w:rFonts w:ascii="Verdana" w:eastAsia="標楷體" w:hAnsi="Verdana" w:cs="Arial"/>
          <w:kern w:val="0"/>
        </w:rPr>
        <w:t xml:space="preserve">necessary assistance if any graduate student </w:t>
      </w:r>
      <w:r w:rsidR="007F329D" w:rsidRPr="00262C69">
        <w:rPr>
          <w:rFonts w:ascii="Verdana" w:eastAsia="標楷體" w:hAnsi="Verdana" w:cs="Arial"/>
          <w:kern w:val="0"/>
        </w:rPr>
        <w:t>cannot find an advisor or the advisor is unable to advise due to illness, resignation, overseas travel</w:t>
      </w:r>
      <w:r w:rsidR="000222E5">
        <w:rPr>
          <w:rFonts w:ascii="Verdana" w:eastAsia="標楷體" w:hAnsi="Verdana" w:cs="Arial"/>
          <w:kern w:val="0"/>
        </w:rPr>
        <w:t xml:space="preserve"> or</w:t>
      </w:r>
      <w:r w:rsidR="007F329D" w:rsidRPr="00262C69">
        <w:rPr>
          <w:rFonts w:ascii="Verdana" w:eastAsia="標楷體" w:hAnsi="Verdana" w:cs="Arial"/>
          <w:kern w:val="0"/>
        </w:rPr>
        <w:t xml:space="preserve"> retirement. </w:t>
      </w:r>
    </w:p>
    <w:p w14:paraId="27D5B53D" w14:textId="62C06123" w:rsidR="007F329D" w:rsidRPr="00262C69" w:rsidRDefault="007F329D" w:rsidP="009E5C9C">
      <w:pPr>
        <w:tabs>
          <w:tab w:val="left" w:pos="1418"/>
        </w:tabs>
        <w:adjustRightInd w:val="0"/>
        <w:snapToGrid w:val="0"/>
        <w:spacing w:beforeLines="50" w:before="180" w:afterLines="50" w:after="180"/>
        <w:ind w:left="1214" w:hangingChars="506" w:hanging="1214"/>
        <w:jc w:val="both"/>
        <w:rPr>
          <w:rFonts w:ascii="Verdana" w:eastAsia="標楷體" w:hAnsi="Verdana" w:cs="Arial"/>
          <w:kern w:val="0"/>
        </w:rPr>
      </w:pPr>
      <w:r w:rsidRPr="00262C69">
        <w:rPr>
          <w:rFonts w:ascii="Verdana" w:eastAsia="標楷體" w:hAnsi="Verdana" w:cs="Arial"/>
          <w:kern w:val="0"/>
        </w:rPr>
        <w:t>Article 5</w:t>
      </w:r>
      <w:r w:rsidR="009E5C9C" w:rsidRPr="00262C69">
        <w:rPr>
          <w:rFonts w:ascii="Verdana" w:eastAsia="標楷體" w:hAnsi="Verdana" w:cs="Arial"/>
          <w:kern w:val="0"/>
        </w:rPr>
        <w:tab/>
      </w:r>
      <w:r w:rsidRPr="00262C69">
        <w:rPr>
          <w:rFonts w:ascii="Verdana" w:eastAsia="標楷體" w:hAnsi="Verdana" w:cs="Arial"/>
          <w:kern w:val="0"/>
        </w:rPr>
        <w:t xml:space="preserve">Any graduate student who wishes to change the advisor must submit the application </w:t>
      </w:r>
      <w:r w:rsidR="000222E5">
        <w:rPr>
          <w:rFonts w:ascii="Verdana" w:eastAsia="標楷體" w:hAnsi="Verdana" w:cs="Arial"/>
          <w:kern w:val="0"/>
        </w:rPr>
        <w:t xml:space="preserve">form </w:t>
      </w:r>
      <w:r w:rsidRPr="00262C69">
        <w:rPr>
          <w:rFonts w:ascii="Verdana" w:eastAsia="標楷體" w:hAnsi="Verdana" w:cs="Arial"/>
          <w:kern w:val="0"/>
        </w:rPr>
        <w:t xml:space="preserve">within two weeks after the start of each semester. Change of advisor is permitted only once, unless there is any compulsory reason (as determined by the Institute Affairs Meeting). </w:t>
      </w:r>
    </w:p>
    <w:p w14:paraId="4C96AEBD" w14:textId="1F813423" w:rsidR="009E5C9C" w:rsidRPr="00262C69" w:rsidRDefault="007F329D" w:rsidP="009E5C9C">
      <w:pPr>
        <w:tabs>
          <w:tab w:val="left" w:pos="1418"/>
        </w:tabs>
        <w:adjustRightInd w:val="0"/>
        <w:snapToGrid w:val="0"/>
        <w:spacing w:beforeLines="50" w:before="180" w:afterLines="50" w:after="180"/>
        <w:ind w:left="1214" w:hangingChars="506" w:hanging="1214"/>
        <w:jc w:val="both"/>
        <w:rPr>
          <w:rFonts w:ascii="Verdana" w:eastAsia="標楷體" w:hAnsi="Verdana" w:cs="Arial"/>
          <w:kern w:val="0"/>
        </w:rPr>
      </w:pPr>
      <w:r w:rsidRPr="00262C69">
        <w:rPr>
          <w:rFonts w:ascii="Verdana" w:eastAsia="標楷體" w:hAnsi="Verdana" w:cs="Arial"/>
          <w:kern w:val="0"/>
        </w:rPr>
        <w:t xml:space="preserve">Article 6 </w:t>
      </w:r>
      <w:r w:rsidR="009E5C9C" w:rsidRPr="00262C69">
        <w:rPr>
          <w:rFonts w:ascii="Verdana" w:eastAsia="標楷體" w:hAnsi="Verdana" w:cs="Arial"/>
          <w:kern w:val="0"/>
        </w:rPr>
        <w:tab/>
      </w:r>
      <w:r w:rsidRPr="00262C69">
        <w:rPr>
          <w:rFonts w:ascii="Verdana" w:eastAsia="標楷體" w:hAnsi="Verdana" w:cs="Arial"/>
          <w:kern w:val="0"/>
        </w:rPr>
        <w:t>Any graduate student of the Institute should fill out the “Change of Advisor Application Form”</w:t>
      </w:r>
      <w:r w:rsidR="009E5C9C" w:rsidRPr="00262C69">
        <w:rPr>
          <w:rFonts w:ascii="Verdana" w:eastAsia="標楷體" w:hAnsi="Verdana" w:cs="Arial"/>
          <w:kern w:val="0"/>
        </w:rPr>
        <w:t xml:space="preserve"> and submit </w:t>
      </w:r>
      <w:r w:rsidR="000222E5">
        <w:rPr>
          <w:rFonts w:ascii="Verdana" w:eastAsia="標楷體" w:hAnsi="Verdana" w:cs="Arial"/>
          <w:kern w:val="0"/>
        </w:rPr>
        <w:t xml:space="preserve">it </w:t>
      </w:r>
      <w:r w:rsidR="009E5C9C" w:rsidRPr="00262C69">
        <w:rPr>
          <w:rFonts w:ascii="Verdana" w:eastAsia="標楷體" w:hAnsi="Verdana" w:cs="Arial"/>
          <w:kern w:val="0"/>
        </w:rPr>
        <w:t>for the signatures of the Institute’s administrative teacher and the Chairman</w:t>
      </w:r>
      <w:r w:rsidRPr="00262C69">
        <w:rPr>
          <w:rFonts w:ascii="Verdana" w:eastAsia="標楷體" w:hAnsi="Verdana" w:cs="Arial"/>
          <w:kern w:val="0"/>
        </w:rPr>
        <w:t xml:space="preserve"> to change the advisor</w:t>
      </w:r>
      <w:r w:rsidR="009E5C9C" w:rsidRPr="00262C69">
        <w:rPr>
          <w:rFonts w:ascii="Verdana" w:eastAsia="標楷體" w:hAnsi="Verdana" w:cs="Arial"/>
          <w:kern w:val="0"/>
        </w:rPr>
        <w:t>. The forms will be kept by the office of the Institute. Any controvers</w:t>
      </w:r>
      <w:r w:rsidR="000222E5">
        <w:rPr>
          <w:rFonts w:ascii="Verdana" w:eastAsia="標楷體" w:hAnsi="Verdana" w:cs="Arial"/>
          <w:kern w:val="0"/>
        </w:rPr>
        <w:t>ies</w:t>
      </w:r>
      <w:r w:rsidR="009E5C9C" w:rsidRPr="00262C69">
        <w:rPr>
          <w:rFonts w:ascii="Verdana" w:eastAsia="標楷體" w:hAnsi="Verdana" w:cs="Arial"/>
          <w:kern w:val="0"/>
        </w:rPr>
        <w:t xml:space="preserve"> should be </w:t>
      </w:r>
      <w:r w:rsidR="00D159B4" w:rsidRPr="00262C69">
        <w:rPr>
          <w:rFonts w:ascii="Verdana" w:eastAsia="標楷體" w:hAnsi="Verdana" w:cs="Arial"/>
          <w:kern w:val="0"/>
        </w:rPr>
        <w:t xml:space="preserve">considered and </w:t>
      </w:r>
      <w:r w:rsidR="009E5C9C" w:rsidRPr="00262C69">
        <w:rPr>
          <w:rFonts w:ascii="Verdana" w:eastAsia="標楷體" w:hAnsi="Verdana" w:cs="Arial"/>
          <w:kern w:val="0"/>
        </w:rPr>
        <w:t xml:space="preserve">determined by the Institute Affairs Meeting. </w:t>
      </w:r>
    </w:p>
    <w:p w14:paraId="4BBA70BC" w14:textId="77777777" w:rsidR="00F1354B" w:rsidRPr="00262C69" w:rsidRDefault="009E5C9C" w:rsidP="009E5C9C">
      <w:pPr>
        <w:tabs>
          <w:tab w:val="left" w:pos="1418"/>
        </w:tabs>
        <w:adjustRightInd w:val="0"/>
        <w:snapToGrid w:val="0"/>
        <w:spacing w:beforeLines="50" w:before="180" w:afterLines="50" w:after="180"/>
        <w:ind w:left="1214" w:hangingChars="506" w:hanging="1214"/>
        <w:jc w:val="both"/>
        <w:rPr>
          <w:rFonts w:ascii="Verdana" w:eastAsia="標楷體" w:hAnsi="Verdana" w:cs="Arial"/>
          <w:kern w:val="0"/>
        </w:rPr>
      </w:pPr>
      <w:r w:rsidRPr="00262C69">
        <w:rPr>
          <w:rFonts w:ascii="Verdana" w:eastAsia="標楷體" w:hAnsi="Verdana" w:cs="Arial"/>
          <w:kern w:val="0"/>
        </w:rPr>
        <w:t xml:space="preserve">Article 7 </w:t>
      </w:r>
      <w:r w:rsidRPr="00262C69">
        <w:rPr>
          <w:rFonts w:ascii="Verdana" w:eastAsia="標楷體" w:hAnsi="Verdana" w:cs="Arial"/>
          <w:kern w:val="0"/>
        </w:rPr>
        <w:tab/>
        <w:t xml:space="preserve">After the change of advisor, the graduate student may not adopt the results obtained from the research conducted with the original advisor as the main content of the degree thesis without the written consent of the original advisor, unless the original professor serves as a joint advisor after retirement. </w:t>
      </w:r>
    </w:p>
    <w:p w14:paraId="4A83C199" w14:textId="09A241B7" w:rsidR="009E5C9C" w:rsidRPr="00262C69" w:rsidRDefault="009E5C9C" w:rsidP="009E5C9C">
      <w:pPr>
        <w:tabs>
          <w:tab w:val="left" w:pos="1418"/>
        </w:tabs>
        <w:adjustRightInd w:val="0"/>
        <w:snapToGrid w:val="0"/>
        <w:spacing w:beforeLines="50" w:before="180" w:afterLines="50" w:after="180"/>
        <w:ind w:left="1214" w:hangingChars="506" w:hanging="1214"/>
        <w:jc w:val="both"/>
        <w:rPr>
          <w:rFonts w:ascii="Verdana" w:eastAsia="標楷體" w:hAnsi="Verdana" w:cs="Arial"/>
          <w:kern w:val="0"/>
        </w:rPr>
      </w:pPr>
      <w:r w:rsidRPr="00262C69">
        <w:rPr>
          <w:rFonts w:ascii="Verdana" w:eastAsia="標楷體" w:hAnsi="Verdana" w:cs="Arial"/>
          <w:kern w:val="0"/>
        </w:rPr>
        <w:lastRenderedPageBreak/>
        <w:t xml:space="preserve">Article 8 </w:t>
      </w:r>
      <w:r w:rsidRPr="00262C69">
        <w:rPr>
          <w:rFonts w:ascii="Verdana" w:eastAsia="標楷體" w:hAnsi="Verdana" w:cs="Arial"/>
          <w:kern w:val="0"/>
        </w:rPr>
        <w:tab/>
        <w:t xml:space="preserve">Any graduate student who </w:t>
      </w:r>
      <w:r w:rsidR="000222E5">
        <w:rPr>
          <w:rFonts w:ascii="Verdana" w:eastAsia="標楷體" w:hAnsi="Verdana" w:cs="Arial"/>
          <w:kern w:val="0"/>
        </w:rPr>
        <w:t xml:space="preserve">is </w:t>
      </w:r>
      <w:r w:rsidRPr="00262C69">
        <w:rPr>
          <w:rFonts w:ascii="Verdana" w:eastAsia="標楷體" w:hAnsi="Verdana" w:cs="Arial"/>
          <w:kern w:val="0"/>
        </w:rPr>
        <w:t>in the last semester of the maximum years of study and met the qualification</w:t>
      </w:r>
      <w:r w:rsidR="000222E5">
        <w:rPr>
          <w:rFonts w:ascii="Verdana" w:eastAsia="標楷體" w:hAnsi="Verdana" w:cs="Arial"/>
          <w:kern w:val="0"/>
        </w:rPr>
        <w:t>s</w:t>
      </w:r>
      <w:r w:rsidRPr="00262C69">
        <w:rPr>
          <w:rFonts w:ascii="Verdana" w:eastAsia="標楷體" w:hAnsi="Verdana" w:cs="Arial"/>
          <w:kern w:val="0"/>
        </w:rPr>
        <w:t xml:space="preserve"> </w:t>
      </w:r>
      <w:r w:rsidR="000222E5" w:rsidRPr="00501253">
        <w:rPr>
          <w:rFonts w:ascii="Verdana" w:eastAsia="標楷體" w:hAnsi="Verdana" w:cs="Arial"/>
          <w:kern w:val="0"/>
        </w:rPr>
        <w:t>fo</w:t>
      </w:r>
      <w:r w:rsidR="000222E5" w:rsidRPr="0077536B">
        <w:rPr>
          <w:rFonts w:ascii="Verdana" w:eastAsia="標楷體" w:hAnsi="Verdana" w:cs="Arial"/>
          <w:kern w:val="0"/>
        </w:rPr>
        <w:t xml:space="preserve">r </w:t>
      </w:r>
      <w:r w:rsidRPr="00501253">
        <w:rPr>
          <w:rFonts w:ascii="Verdana" w:eastAsia="標楷體" w:hAnsi="Verdana" w:cs="Arial"/>
          <w:kern w:val="0"/>
        </w:rPr>
        <w:t>oral</w:t>
      </w:r>
      <w:r w:rsidRPr="00262C69">
        <w:rPr>
          <w:rFonts w:ascii="Verdana" w:eastAsia="標楷體" w:hAnsi="Verdana" w:cs="Arial"/>
          <w:kern w:val="0"/>
        </w:rPr>
        <w:t xml:space="preserve"> defense</w:t>
      </w:r>
      <w:r w:rsidR="00D159B4" w:rsidRPr="00262C69">
        <w:rPr>
          <w:rFonts w:ascii="Verdana" w:eastAsia="標楷體" w:hAnsi="Verdana" w:cs="Arial"/>
          <w:kern w:val="0"/>
        </w:rPr>
        <w:t xml:space="preserve"> may appeal to the Institute if the advisor does not give the consent for the thesis oral defense. The appeal should be considered and determined by the Institute Affairs Meeting.</w:t>
      </w:r>
    </w:p>
    <w:p w14:paraId="3BA6FA9A" w14:textId="2F76A7D4" w:rsidR="00D159B4" w:rsidRPr="00262C69" w:rsidRDefault="00D159B4" w:rsidP="009E5C9C">
      <w:pPr>
        <w:tabs>
          <w:tab w:val="left" w:pos="1418"/>
        </w:tabs>
        <w:adjustRightInd w:val="0"/>
        <w:snapToGrid w:val="0"/>
        <w:spacing w:beforeLines="50" w:before="180" w:afterLines="50" w:after="180"/>
        <w:ind w:left="1214" w:hangingChars="506" w:hanging="1214"/>
        <w:jc w:val="both"/>
        <w:rPr>
          <w:rFonts w:ascii="Verdana" w:eastAsia="標楷體" w:hAnsi="Verdana" w:cs="Arial"/>
          <w:kern w:val="0"/>
        </w:rPr>
      </w:pPr>
      <w:r w:rsidRPr="00262C69">
        <w:rPr>
          <w:rFonts w:ascii="Verdana" w:eastAsia="標楷體" w:hAnsi="Verdana" w:cs="Arial"/>
          <w:kern w:val="0"/>
        </w:rPr>
        <w:t>Article 9</w:t>
      </w:r>
      <w:r w:rsidRPr="00262C69">
        <w:rPr>
          <w:rFonts w:ascii="Verdana" w:eastAsia="標楷體" w:hAnsi="Verdana" w:cs="Arial"/>
          <w:kern w:val="0"/>
        </w:rPr>
        <w:tab/>
        <w:t>Any graduate student who has changed the advisor should provide the draft of the thesis to the original advisor ten days before the thesis oral defense. In case of any dispute</w:t>
      </w:r>
      <w:r w:rsidR="000222E5">
        <w:rPr>
          <w:rFonts w:ascii="Verdana" w:eastAsia="標楷體" w:hAnsi="Verdana" w:cs="Arial"/>
          <w:kern w:val="0"/>
        </w:rPr>
        <w:t>s</w:t>
      </w:r>
      <w:r w:rsidRPr="00262C69">
        <w:rPr>
          <w:rFonts w:ascii="Verdana" w:eastAsia="標楷體" w:hAnsi="Verdana" w:cs="Arial"/>
          <w:kern w:val="0"/>
        </w:rPr>
        <w:t>, the original professor should appeal to the Institute five days before the oral defense. The appeal should be considered and determined by the Institute Affairs Meeting.</w:t>
      </w:r>
    </w:p>
    <w:p w14:paraId="0FE8AEA1" w14:textId="30BFAE6C" w:rsidR="00D159B4" w:rsidRPr="00262C69" w:rsidRDefault="00D159B4" w:rsidP="009E5C9C">
      <w:pPr>
        <w:tabs>
          <w:tab w:val="left" w:pos="1418"/>
        </w:tabs>
        <w:adjustRightInd w:val="0"/>
        <w:snapToGrid w:val="0"/>
        <w:spacing w:beforeLines="50" w:before="180" w:afterLines="50" w:after="180"/>
        <w:ind w:left="1214" w:hangingChars="506" w:hanging="1214"/>
        <w:jc w:val="both"/>
        <w:rPr>
          <w:rFonts w:ascii="Verdana" w:eastAsia="標楷體" w:hAnsi="Verdana" w:cs="Arial"/>
          <w:kern w:val="0"/>
        </w:rPr>
      </w:pPr>
      <w:r w:rsidRPr="00262C69">
        <w:rPr>
          <w:rFonts w:ascii="Verdana" w:eastAsia="標楷體" w:hAnsi="Verdana" w:cs="Arial"/>
          <w:kern w:val="0"/>
        </w:rPr>
        <w:t>Article 10</w:t>
      </w:r>
      <w:r w:rsidRPr="00262C69">
        <w:rPr>
          <w:rFonts w:ascii="Verdana" w:eastAsia="標楷體" w:hAnsi="Verdana" w:cs="Arial"/>
          <w:kern w:val="0"/>
        </w:rPr>
        <w:tab/>
        <w:t>These Procedures and any amendment</w:t>
      </w:r>
      <w:r w:rsidR="000222E5">
        <w:rPr>
          <w:rFonts w:ascii="Verdana" w:eastAsia="標楷體" w:hAnsi="Verdana" w:cs="Arial"/>
          <w:kern w:val="0"/>
        </w:rPr>
        <w:t>s</w:t>
      </w:r>
      <w:r w:rsidRPr="00262C69">
        <w:rPr>
          <w:rFonts w:ascii="Verdana" w:eastAsia="標楷體" w:hAnsi="Verdana" w:cs="Arial"/>
          <w:kern w:val="0"/>
        </w:rPr>
        <w:t xml:space="preserve"> thereof sh</w:t>
      </w:r>
      <w:r w:rsidR="000222E5">
        <w:rPr>
          <w:rFonts w:ascii="Verdana" w:eastAsia="標楷體" w:hAnsi="Verdana" w:cs="Arial"/>
          <w:kern w:val="0"/>
        </w:rPr>
        <w:t>all</w:t>
      </w:r>
      <w:r w:rsidRPr="00262C69">
        <w:rPr>
          <w:rFonts w:ascii="Verdana" w:eastAsia="標楷體" w:hAnsi="Verdana" w:cs="Arial"/>
          <w:kern w:val="0"/>
        </w:rPr>
        <w:t xml:space="preserve"> become effective upon the resolution of the Institute Affairs Meeting. </w:t>
      </w:r>
    </w:p>
    <w:p w14:paraId="6C80114E" w14:textId="77777777" w:rsidR="00A50672" w:rsidRPr="00262C69" w:rsidRDefault="00A50672" w:rsidP="00F1354B">
      <w:pPr>
        <w:adjustRightInd w:val="0"/>
        <w:snapToGrid w:val="0"/>
        <w:spacing w:beforeLines="50" w:before="180" w:afterLines="50" w:after="180"/>
        <w:ind w:left="1120" w:hangingChars="400" w:hanging="1120"/>
        <w:rPr>
          <w:rFonts w:ascii="Verdana" w:eastAsia="標楷體" w:hAnsi="Verdana" w:cs="Arial"/>
          <w:kern w:val="0"/>
          <w:sz w:val="28"/>
          <w:szCs w:val="28"/>
        </w:rPr>
      </w:pPr>
    </w:p>
    <w:sectPr w:rsidR="00A50672" w:rsidRPr="00262C69" w:rsidSect="006B1565">
      <w:pgSz w:w="11906" w:h="16838"/>
      <w:pgMar w:top="1304" w:right="1304" w:bottom="1304" w:left="130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99123" w14:textId="77777777" w:rsidR="000B13ED" w:rsidRDefault="000B13ED" w:rsidP="00BB63FF">
      <w:r>
        <w:separator/>
      </w:r>
    </w:p>
  </w:endnote>
  <w:endnote w:type="continuationSeparator" w:id="0">
    <w:p w14:paraId="4FBB2271" w14:textId="77777777" w:rsidR="000B13ED" w:rsidRDefault="000B13ED" w:rsidP="00BB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6241F" w14:textId="77777777" w:rsidR="000B13ED" w:rsidRDefault="000B13ED" w:rsidP="00BB63FF">
      <w:r>
        <w:separator/>
      </w:r>
    </w:p>
  </w:footnote>
  <w:footnote w:type="continuationSeparator" w:id="0">
    <w:p w14:paraId="455918E3" w14:textId="77777777" w:rsidR="000B13ED" w:rsidRDefault="000B13ED" w:rsidP="00BB6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84953"/>
    <w:multiLevelType w:val="hybridMultilevel"/>
    <w:tmpl w:val="84A05A5C"/>
    <w:lvl w:ilvl="0" w:tplc="D6D40732">
      <w:start w:val="1"/>
      <w:numFmt w:val="taiwaneseCountingThousand"/>
      <w:lvlText w:val="第%1條"/>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17"/>
    <w:rsid w:val="000222E5"/>
    <w:rsid w:val="000B13ED"/>
    <w:rsid w:val="000E4274"/>
    <w:rsid w:val="00104583"/>
    <w:rsid w:val="001D5D23"/>
    <w:rsid w:val="00211BC3"/>
    <w:rsid w:val="00262C69"/>
    <w:rsid w:val="002E09FC"/>
    <w:rsid w:val="00332C46"/>
    <w:rsid w:val="004D4D25"/>
    <w:rsid w:val="00501253"/>
    <w:rsid w:val="005037FF"/>
    <w:rsid w:val="00544536"/>
    <w:rsid w:val="006550E5"/>
    <w:rsid w:val="006B1565"/>
    <w:rsid w:val="006E57C3"/>
    <w:rsid w:val="0077536B"/>
    <w:rsid w:val="007858CB"/>
    <w:rsid w:val="007F329D"/>
    <w:rsid w:val="00862D35"/>
    <w:rsid w:val="00906634"/>
    <w:rsid w:val="00932936"/>
    <w:rsid w:val="00956499"/>
    <w:rsid w:val="009E5C9C"/>
    <w:rsid w:val="009F4998"/>
    <w:rsid w:val="00A50672"/>
    <w:rsid w:val="00AA74D7"/>
    <w:rsid w:val="00AF5117"/>
    <w:rsid w:val="00B40283"/>
    <w:rsid w:val="00BB63FF"/>
    <w:rsid w:val="00D159B4"/>
    <w:rsid w:val="00ED2448"/>
    <w:rsid w:val="00F13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26A8D"/>
  <w15:docId w15:val="{05DB8B62-A178-4AA6-A057-7091AC5B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F511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3FF"/>
    <w:pPr>
      <w:tabs>
        <w:tab w:val="center" w:pos="4153"/>
        <w:tab w:val="right" w:pos="8306"/>
      </w:tabs>
      <w:snapToGrid w:val="0"/>
    </w:pPr>
    <w:rPr>
      <w:sz w:val="20"/>
      <w:szCs w:val="20"/>
    </w:rPr>
  </w:style>
  <w:style w:type="character" w:customStyle="1" w:styleId="a4">
    <w:name w:val="頁首 字元"/>
    <w:basedOn w:val="a0"/>
    <w:link w:val="a3"/>
    <w:uiPriority w:val="99"/>
    <w:rsid w:val="00BB63FF"/>
    <w:rPr>
      <w:rFonts w:ascii="Times New Roman" w:eastAsia="新細明體" w:hAnsi="Times New Roman" w:cs="Times New Roman"/>
      <w:sz w:val="20"/>
      <w:szCs w:val="20"/>
    </w:rPr>
  </w:style>
  <w:style w:type="paragraph" w:styleId="a5">
    <w:name w:val="footer"/>
    <w:basedOn w:val="a"/>
    <w:link w:val="a6"/>
    <w:uiPriority w:val="99"/>
    <w:unhideWhenUsed/>
    <w:rsid w:val="00BB63FF"/>
    <w:pPr>
      <w:tabs>
        <w:tab w:val="center" w:pos="4153"/>
        <w:tab w:val="right" w:pos="8306"/>
      </w:tabs>
      <w:snapToGrid w:val="0"/>
    </w:pPr>
    <w:rPr>
      <w:sz w:val="20"/>
      <w:szCs w:val="20"/>
    </w:rPr>
  </w:style>
  <w:style w:type="character" w:customStyle="1" w:styleId="a6">
    <w:name w:val="頁尾 字元"/>
    <w:basedOn w:val="a0"/>
    <w:link w:val="a5"/>
    <w:uiPriority w:val="99"/>
    <w:rsid w:val="00BB63FF"/>
    <w:rPr>
      <w:rFonts w:ascii="Times New Roman" w:eastAsia="新細明體" w:hAnsi="Times New Roman" w:cs="Times New Roman"/>
      <w:sz w:val="20"/>
      <w:szCs w:val="20"/>
    </w:rPr>
  </w:style>
  <w:style w:type="paragraph" w:styleId="a7">
    <w:name w:val="List Paragraph"/>
    <w:basedOn w:val="a"/>
    <w:uiPriority w:val="34"/>
    <w:qFormat/>
    <w:rsid w:val="00956499"/>
    <w:pPr>
      <w:ind w:leftChars="200" w:left="480"/>
    </w:pPr>
  </w:style>
  <w:style w:type="paragraph" w:styleId="a8">
    <w:name w:val="Balloon Text"/>
    <w:basedOn w:val="a"/>
    <w:link w:val="a9"/>
    <w:uiPriority w:val="99"/>
    <w:semiHidden/>
    <w:unhideWhenUsed/>
    <w:rsid w:val="000222E5"/>
    <w:rPr>
      <w:sz w:val="18"/>
      <w:szCs w:val="18"/>
    </w:rPr>
  </w:style>
  <w:style w:type="character" w:customStyle="1" w:styleId="a9">
    <w:name w:val="註解方塊文字 字元"/>
    <w:basedOn w:val="a0"/>
    <w:link w:val="a8"/>
    <w:uiPriority w:val="99"/>
    <w:semiHidden/>
    <w:rsid w:val="000222E5"/>
    <w:rPr>
      <w:rFonts w:ascii="Times New Roman" w:eastAsia="新細明體"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Camus Chang</cp:lastModifiedBy>
  <cp:revision>15</cp:revision>
  <dcterms:created xsi:type="dcterms:W3CDTF">2017-03-30T09:32:00Z</dcterms:created>
  <dcterms:modified xsi:type="dcterms:W3CDTF">2020-03-06T03:28:00Z</dcterms:modified>
</cp:coreProperties>
</file>